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F1F6F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C56E1" w:rsidRPr="00CC56E1">
        <w:rPr>
          <w:rFonts w:ascii="Arial" w:eastAsia="Calibri" w:hAnsi="Arial" w:cs="Arial"/>
          <w:color w:val="000000" w:themeColor="text1"/>
        </w:rPr>
        <w:t xml:space="preserve">33529 </w:t>
      </w:r>
      <w:proofErr w:type="spellStart"/>
      <w:r w:rsidR="00CC56E1" w:rsidRPr="00CC56E1">
        <w:rPr>
          <w:rFonts w:ascii="Arial" w:eastAsia="Calibri" w:hAnsi="Arial" w:cs="Arial"/>
          <w:color w:val="000000" w:themeColor="text1"/>
        </w:rPr>
        <w:t>Uipath</w:t>
      </w:r>
      <w:proofErr w:type="spellEnd"/>
      <w:r w:rsidR="00CC56E1" w:rsidRPr="00CC56E1">
        <w:rPr>
          <w:rFonts w:ascii="Arial" w:eastAsia="Calibri" w:hAnsi="Arial" w:cs="Arial"/>
          <w:color w:val="000000" w:themeColor="text1"/>
        </w:rPr>
        <w:t xml:space="preserve"> programinės įrangos (arba lygiaverčių) licencijų nuoma</w:t>
      </w:r>
      <w:r w:rsidR="00CC56E1" w:rsidRPr="00CC56E1">
        <w:rPr>
          <w:rFonts w:ascii="Arial" w:eastAsia="Calibri" w:hAnsi="Arial" w:cs="Arial"/>
          <w:color w:val="000000" w:themeColor="text1"/>
        </w:rPr>
        <w:t xml:space="preserve"> </w:t>
      </w:r>
      <w:r w:rsidRPr="00CC56E1">
        <w:rPr>
          <w:rFonts w:ascii="Arial" w:eastAsia="Calibri" w:hAnsi="Arial" w:cs="Arial"/>
          <w:color w:val="000000" w:themeColor="text1"/>
        </w:rPr>
        <w:t>pirkime</w:t>
      </w:r>
      <w:r w:rsidR="00800AE3" w:rsidRPr="00CC56E1">
        <w:rPr>
          <w:rFonts w:ascii="Arial" w:eastAsia="Calibri" w:hAnsi="Arial" w:cs="Arial"/>
          <w:color w:val="000000" w:themeColor="text1"/>
        </w:rPr>
        <w:t xml:space="preserve"> ir </w:t>
      </w:r>
      <w:r w:rsidR="0043557C" w:rsidRPr="00CC56E1">
        <w:rPr>
          <w:rFonts w:ascii="Arial" w:eastAsia="Calibri" w:hAnsi="Arial" w:cs="Arial"/>
          <w:color w:val="000000" w:themeColor="text1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A13F3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C56E1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A13F3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